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9" w:line="259" w:lineRule="auto"/>
        <w:ind w:left="425.19685039370086"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Allegato 5</w:t>
      </w:r>
    </w:p>
    <w:p w:rsidR="00000000" w:rsidDel="00000000" w:rsidP="00000000" w:rsidRDefault="00000000" w:rsidRPr="00000000" w14:paraId="00000002">
      <w:pPr>
        <w:spacing w:line="276" w:lineRule="auto"/>
        <w:ind w:left="-42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2" w:line="357" w:lineRule="auto"/>
        <w:ind w:left="5193" w:right="52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4">
      <w:pPr>
        <w:spacing w:after="109" w:line="259" w:lineRule="auto"/>
        <w:ind w:left="-283.46456692913375" w:right="452.00787401574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DICHIARAZIONE PERSONALE PER DIRITTO ALL’ESCLUSIONE DALLA GRADUATORIA D’ISTITUTO PER L’INDIVIDUAZIONE DEL PERSONALE SOPRANNUMERARIO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PER </w:t>
      </w:r>
      <w:r w:rsidDel="00000000" w:rsidR="00000000" w:rsidRPr="00000000">
        <w:rPr>
          <w:rFonts w:ascii="Times New Roman" w:cs="Times New Roman" w:eastAsia="Times New Roman" w:hAnsi="Times New Roman"/>
          <w:b w:val="1"/>
          <w:rtl w:val="0"/>
        </w:rPr>
        <w:t xml:space="preserve">L’A.S. 2023/24 </w:t>
      </w:r>
      <w:r w:rsidDel="00000000" w:rsidR="00000000" w:rsidRPr="00000000">
        <w:rPr>
          <w:rtl w:val="0"/>
        </w:rPr>
      </w:r>
    </w:p>
    <w:p w:rsidR="00000000" w:rsidDel="00000000" w:rsidP="00000000" w:rsidRDefault="00000000" w:rsidRPr="00000000" w14:paraId="00000005">
      <w:pPr>
        <w:spacing w:after="108" w:line="259" w:lineRule="auto"/>
        <w:ind w:right="7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6">
      <w:pPr>
        <w:spacing w:line="259" w:lineRule="auto"/>
        <w:ind w:left="6236.220472440945" w:right="452.0078740157493"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 Dirigente Scolastico  </w:t>
      </w:r>
    </w:p>
    <w:p w:rsidR="00000000" w:rsidDel="00000000" w:rsidP="00000000" w:rsidRDefault="00000000" w:rsidRPr="00000000" w14:paraId="00000007">
      <w:pPr>
        <w:spacing w:line="259" w:lineRule="auto"/>
        <w:ind w:left="7370.078740157479" w:right="452.0078740157493"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Liceo G.Meli</w:t>
      </w:r>
    </w:p>
    <w:p w:rsidR="00000000" w:rsidDel="00000000" w:rsidP="00000000" w:rsidRDefault="00000000" w:rsidRPr="00000000" w14:paraId="00000008">
      <w:pPr>
        <w:spacing w:line="259" w:lineRule="auto"/>
        <w:ind w:left="7370.07874015747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59" w:lineRule="auto"/>
        <w:ind w:left="18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96" w:line="259" w:lineRule="auto"/>
        <w:ind w:left="18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after="111" w:line="480" w:lineRule="auto"/>
        <w:ind w:left="-283.46456692913375" w:right="4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_l_ sottoscritt_ _____________________________________ nat___ a _________________ il _________, in servizio per il corrente a.s. presso codesto Istituto,  </w:t>
      </w:r>
      <w:r w:rsidDel="00000000" w:rsidR="00000000" w:rsidRPr="00000000">
        <w:rPr>
          <w:rFonts w:ascii="Times New Roman" w:cs="Times New Roman" w:eastAsia="Times New Roman" w:hAnsi="Times New Roman"/>
          <w:b w:val="1"/>
          <w:rtl w:val="0"/>
        </w:rPr>
        <w:t xml:space="preserve">sotto la propria responsabilità </w:t>
      </w:r>
      <w:r w:rsidDel="00000000" w:rsidR="00000000" w:rsidRPr="00000000">
        <w:rPr>
          <w:rFonts w:ascii="Times New Roman" w:cs="Times New Roman" w:eastAsia="Times New Roman" w:hAnsi="Times New Roman"/>
          <w:rtl w:val="0"/>
        </w:rPr>
        <w:t xml:space="preserve">a norma delle disposizioni contenute nel DPR n. 445 del 28-12-2000 come integrato dall’art. 15 della legge 16 gennaio 2003  e modificato dall’art. 15 della legge 12 novembre 2011, n.183,  </w:t>
      </w:r>
    </w:p>
    <w:p w:rsidR="00000000" w:rsidDel="00000000" w:rsidP="00000000" w:rsidRDefault="00000000" w:rsidRPr="00000000" w14:paraId="0000000C">
      <w:pPr>
        <w:spacing w:after="96" w:line="259" w:lineRule="auto"/>
        <w:ind w:left="-283.46456692913375" w:right="1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DICHIARA </w:t>
      </w:r>
      <w:r w:rsidDel="00000000" w:rsidR="00000000" w:rsidRPr="00000000">
        <w:rPr>
          <w:rtl w:val="0"/>
        </w:rPr>
      </w:r>
    </w:p>
    <w:p w:rsidR="00000000" w:rsidDel="00000000" w:rsidP="00000000" w:rsidRDefault="00000000" w:rsidRPr="00000000" w14:paraId="0000000D">
      <w:pPr>
        <w:spacing w:after="111" w:line="248.00000000000006" w:lineRule="auto"/>
        <w:ind w:left="-283.46456692913375" w:right="4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diritto a non  essere inserit__ nella graduatoria d’istituto per l’identificazione dei perdenti posto da trasferire d’ufficio, in quanto beneficiario delle precedenze previste dai punti I, III, IV e VII del comma 2 dell’art.13 del CCNI 18/05/2022 per il seguente motivo: </w:t>
      </w:r>
    </w:p>
    <w:p w:rsidR="00000000" w:rsidDel="00000000" w:rsidP="00000000" w:rsidRDefault="00000000" w:rsidRPr="00000000" w14:paraId="0000000E">
      <w:pPr>
        <w:numPr>
          <w:ilvl w:val="0"/>
          <w:numId w:val="1"/>
        </w:numPr>
        <w:spacing w:line="248.00000000000006" w:lineRule="auto"/>
        <w:ind w:left="720" w:right="483"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Disabilità e gravi motivi di salute (punto I) (allega documentazione); </w:t>
      </w:r>
    </w:p>
    <w:p w:rsidR="00000000" w:rsidDel="00000000" w:rsidP="00000000" w:rsidRDefault="00000000" w:rsidRPr="00000000" w14:paraId="0000000F">
      <w:pPr>
        <w:numPr>
          <w:ilvl w:val="0"/>
          <w:numId w:val="1"/>
        </w:numPr>
        <w:spacing w:line="248.00000000000006" w:lineRule="auto"/>
        <w:ind w:left="720" w:right="483"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Personale con disabilità e personale che ha bisogno di particolari cure continuative (punto III) (allega documentazione); </w:t>
      </w:r>
    </w:p>
    <w:p w:rsidR="00000000" w:rsidDel="00000000" w:rsidP="00000000" w:rsidRDefault="00000000" w:rsidRPr="00000000" w14:paraId="00000010">
      <w:pPr>
        <w:numPr>
          <w:ilvl w:val="0"/>
          <w:numId w:val="1"/>
        </w:numPr>
        <w:spacing w:line="248.00000000000006" w:lineRule="auto"/>
        <w:ind w:left="720" w:right="483"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Assistenza al coniuge, al figlio con disabilità; assistenza da parte del figlio referente unico al genitore con  disabilità, e assistenza di chi esercita la tutela legale (punto IV)  (allega  documentazione); </w:t>
      </w:r>
    </w:p>
    <w:p w:rsidR="00000000" w:rsidDel="00000000" w:rsidP="00000000" w:rsidRDefault="00000000" w:rsidRPr="00000000" w14:paraId="00000011">
      <w:pPr>
        <w:numPr>
          <w:ilvl w:val="0"/>
          <w:numId w:val="1"/>
        </w:numPr>
        <w:spacing w:after="111" w:line="248.00000000000006" w:lineRule="auto"/>
        <w:ind w:left="720" w:right="483"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personale che attualmente  ricopre cariche pubbliche nelle amministrazioni degli Enti Locali (punto VII) (allega documentazione); </w:t>
      </w:r>
    </w:p>
    <w:p w:rsidR="00000000" w:rsidDel="00000000" w:rsidP="00000000" w:rsidRDefault="00000000" w:rsidRPr="00000000" w14:paraId="00000012">
      <w:pPr>
        <w:spacing w:after="113" w:line="259" w:lineRule="auto"/>
        <w:ind w:left="-5" w:right="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Inoltre, dichiara  </w:t>
      </w:r>
    </w:p>
    <w:p w:rsidR="00000000" w:rsidDel="00000000" w:rsidP="00000000" w:rsidRDefault="00000000" w:rsidRPr="00000000" w14:paraId="00000013">
      <w:pPr>
        <w:numPr>
          <w:ilvl w:val="1"/>
          <w:numId w:val="2"/>
        </w:numPr>
        <w:spacing w:after="0" w:afterAutospacing="0" w:line="259" w:lineRule="auto"/>
        <w:ind w:left="1440" w:right="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che presenterà  per l’anno scolastico 2023/2024  domanda volontaria di trasferimento per il distretto sub comunale n. ________   dove risiede il familiare assistito;  </w:t>
      </w:r>
    </w:p>
    <w:p w:rsidR="00000000" w:rsidDel="00000000" w:rsidP="00000000" w:rsidRDefault="00000000" w:rsidRPr="00000000" w14:paraId="00000014">
      <w:pPr>
        <w:numPr>
          <w:ilvl w:val="1"/>
          <w:numId w:val="2"/>
        </w:numPr>
        <w:spacing w:after="113" w:line="259" w:lineRule="auto"/>
        <w:ind w:left="1440" w:right="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che il familiare assistito risiede nel distretto sub comunale di servizio  n. _______; </w:t>
      </w:r>
    </w:p>
    <w:p w:rsidR="00000000" w:rsidDel="00000000" w:rsidP="00000000" w:rsidRDefault="00000000" w:rsidRPr="00000000" w14:paraId="00000015">
      <w:pPr>
        <w:spacing w:after="111" w:line="248.00000000000006" w:lineRule="auto"/>
        <w:ind w:left="369" w:right="48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96" w:line="259" w:lineRule="auto"/>
        <w:ind w:left="10" w:right="12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  </w:t>
      </w:r>
    </w:p>
    <w:p w:rsidR="00000000" w:rsidDel="00000000" w:rsidP="00000000" w:rsidRDefault="00000000" w:rsidRPr="00000000" w14:paraId="00000017">
      <w:pPr>
        <w:spacing w:after="96" w:line="259" w:lineRule="auto"/>
        <w:ind w:left="10" w:right="1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pertanto l’esclusione dalla graduatoria dei so</w:t>
      </w:r>
      <w:r w:rsidDel="00000000" w:rsidR="00000000" w:rsidRPr="00000000">
        <w:rPr>
          <w:rFonts w:ascii="Times New Roman" w:cs="Times New Roman" w:eastAsia="Times New Roman" w:hAnsi="Times New Roman"/>
          <w:rtl w:val="0"/>
        </w:rPr>
        <w:t xml:space="preserve">prannumerari secondo quanto previsto all’art. 13 comma 2 del  C.C.N.I.  sopra citato.             </w:t>
      </w:r>
    </w:p>
    <w:p w:rsidR="00000000" w:rsidDel="00000000" w:rsidP="00000000" w:rsidRDefault="00000000" w:rsidRPr="00000000" w14:paraId="00000018">
      <w:pPr>
        <w:spacing w:after="111" w:line="248.00000000000006" w:lineRule="auto"/>
        <w:ind w:left="369" w:right="48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111" w:line="248.00000000000006" w:lineRule="auto"/>
        <w:ind w:left="369" w:right="48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111" w:line="248.00000000000006" w:lineRule="auto"/>
        <w:ind w:left="369" w:right="4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______________ </w:t>
      </w:r>
    </w:p>
    <w:p w:rsidR="00000000" w:rsidDel="00000000" w:rsidP="00000000" w:rsidRDefault="00000000" w:rsidRPr="00000000" w14:paraId="0000001B">
      <w:pPr>
        <w:spacing w:after="111" w:line="248.00000000000006" w:lineRule="auto"/>
        <w:ind w:left="369" w:right="4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Firma </w:t>
      </w:r>
    </w:p>
    <w:p w:rsidR="00000000" w:rsidDel="00000000" w:rsidP="00000000" w:rsidRDefault="00000000" w:rsidRPr="00000000" w14:paraId="0000001C">
      <w:pPr>
        <w:spacing w:line="259" w:lineRule="auto"/>
        <w:ind w:left="3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59" w:lineRule="auto"/>
        <w:ind w:left="3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line="259" w:lineRule="auto"/>
        <w:ind w:left="3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line="259" w:lineRule="auto"/>
        <w:ind w:left="3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line="259" w:lineRule="auto"/>
        <w:ind w:left="3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line="259" w:lineRule="auto"/>
        <w:ind w:left="3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line="259" w:lineRule="auto"/>
        <w:ind w:left="3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59" w:lineRule="auto"/>
        <w:ind w:left="37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56" w:lineRule="auto"/>
        <w:ind w:left="37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56" w:lineRule="auto"/>
        <w:ind w:left="14"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L’art. 13 comma 2 del CCNI 18/05/2022 prevede che: </w:t>
      </w:r>
      <w:r w:rsidDel="00000000" w:rsidR="00000000" w:rsidRPr="00000000">
        <w:rPr>
          <w:rtl w:val="0"/>
        </w:rPr>
      </w:r>
    </w:p>
    <w:p w:rsidR="00000000" w:rsidDel="00000000" w:rsidP="00000000" w:rsidRDefault="00000000" w:rsidRPr="00000000" w14:paraId="00000026">
      <w:pPr>
        <w:spacing w:line="256" w:lineRule="auto"/>
        <w:ind w:left="1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ESCLUSIONE DALLA GRADUATORIA D’ISTITUTO PER L’INDIVIDUAZIONE DEI PERDENTI POSTO. </w:t>
      </w:r>
    </w:p>
    <w:p w:rsidR="00000000" w:rsidDel="00000000" w:rsidP="00000000" w:rsidRDefault="00000000" w:rsidRPr="00000000" w14:paraId="00000027">
      <w:pPr>
        <w:spacing w:after="119"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 </w:t>
      </w:r>
      <w:r w:rsidDel="00000000" w:rsidR="00000000" w:rsidRPr="00000000">
        <w:rPr>
          <w:rFonts w:ascii="Times New Roman" w:cs="Times New Roman" w:eastAsia="Times New Roman" w:hAnsi="Times New Roman"/>
          <w:u w:val="single"/>
          <w:rtl w:val="0"/>
        </w:rPr>
        <w:t xml:space="preserve">docenti beneficiari delle precedenze previste ai punti I), III), IV) e VII)</w:t>
      </w:r>
      <w:r w:rsidDel="00000000" w:rsidR="00000000" w:rsidRPr="00000000">
        <w:rPr>
          <w:rFonts w:ascii="Times New Roman" w:cs="Times New Roman" w:eastAsia="Times New Roman" w:hAnsi="Times New Roman"/>
          <w:rtl w:val="0"/>
        </w:rPr>
        <w:t xml:space="preserve">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 </w:t>
      </w:r>
    </w:p>
    <w:p w:rsidR="00000000" w:rsidDel="00000000" w:rsidP="00000000" w:rsidRDefault="00000000" w:rsidRPr="00000000" w14:paraId="00000028">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a)l’esclusione dalla graduatoria interna per i beneficiari della precedenza di cui al punto IV si applica solo se si è titolari o incaricati in una scuola ubicata nella stessa provincia del domicilio dell’assistito. </w:t>
      </w:r>
    </w:p>
    <w:p w:rsidR="00000000" w:rsidDel="00000000" w:rsidP="00000000" w:rsidRDefault="00000000" w:rsidRPr="00000000" w14:paraId="00000029">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b)qualora la scuola di titolarità o di incarico sia in comune diverso o distretto sub comunale diverso da quello dell’assistito, l’esclusione dalla graduatoria interna per l’individuazione del perdente posto si applica solo a condizione che sia stata presentata, per l’anno scolastico 2017/18, domanda volontaria di trasferimento alle stesse condizioni di cui al punto IV. </w:t>
      </w:r>
    </w:p>
    <w:p w:rsidR="00000000" w:rsidDel="00000000" w:rsidP="00000000" w:rsidRDefault="00000000" w:rsidRPr="00000000" w14:paraId="0000002A">
      <w:pPr>
        <w:spacing w:after="61"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Quanto sopra non si applica qualora la scuola di titolarità o di incarico comprenda sedi (plessi, sezioni associate) ubicate nel comune o distretto sub comunale del domicilio del familiare assistito. </w:t>
      </w:r>
    </w:p>
    <w:p w:rsidR="00000000" w:rsidDel="00000000" w:rsidP="00000000" w:rsidRDefault="00000000" w:rsidRPr="00000000" w14:paraId="0000002B">
      <w:pPr>
        <w:spacing w:after="61"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L’esclusione di cui al punto IV)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 </w:t>
      </w:r>
    </w:p>
    <w:p w:rsidR="00000000" w:rsidDel="00000000" w:rsidP="00000000" w:rsidRDefault="00000000" w:rsidRPr="00000000" w14:paraId="0000002C">
      <w:pPr>
        <w:spacing w:after="61"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gli amministratori degli Enti Locali ed i consiglieri di pari opportunità tale esclusione va pplicata solo durante l’esercizio del mandato amministrativo e solo se titolari nella stessa provincia  in cui si esercita. </w:t>
      </w:r>
    </w:p>
    <w:p w:rsidR="00000000" w:rsidDel="00000000" w:rsidP="00000000" w:rsidRDefault="00000000" w:rsidRPr="00000000" w14:paraId="0000002D">
      <w:pPr>
        <w:spacing w:after="55"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caso in cui la contrazione di organico sia tale da rendere necessario anche il coinvolgimento delle predette categorie, il personale in questione sarà graduato seguendo l’ordine di cui sopra</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2E">
      <w:pPr>
        <w:spacing w:after="58" w:line="225" w:lineRule="auto"/>
        <w:ind w:left="-2" w:right="-1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“Il personale beneficiario delle precedenze di cui ai punti III), IV)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 </w:t>
      </w:r>
    </w:p>
    <w:p w:rsidR="00000000" w:rsidDel="00000000" w:rsidP="00000000" w:rsidRDefault="00000000" w:rsidRPr="00000000" w14:paraId="0000002F">
      <w:pPr>
        <w:keepNext w:val="1"/>
        <w:keepLines w:val="1"/>
        <w:spacing w:line="256"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DISABILITA’ E GRAVI MOTIVI DI SALUTE </w:t>
      </w:r>
    </w:p>
    <w:p w:rsidR="00000000" w:rsidDel="00000000" w:rsidP="00000000" w:rsidRDefault="00000000" w:rsidRPr="00000000" w14:paraId="00000030">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Nelle operazioni di mobilità territoriale e professionale, indipendentemente dalla provincia di provenienza dell’interessato, viene riconosciuta una precedenza assoluta, a tutto il personale docente che si trovi, nell’ordine, in una delle seguenti condizioni: </w:t>
      </w:r>
    </w:p>
    <w:p w:rsidR="00000000" w:rsidDel="00000000" w:rsidP="00000000" w:rsidRDefault="00000000" w:rsidRPr="00000000" w14:paraId="00000031">
      <w:pPr>
        <w:spacing w:after="3" w:line="225" w:lineRule="auto"/>
        <w:ind w:left="-2" w:right="235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personale scolastico docente non vedente (art. 3 della Legge 28 marzo 1991 n. 120); 2) personale emodializzato (art. 61 della Legge 270/82).  </w:t>
      </w:r>
    </w:p>
    <w:p w:rsidR="00000000" w:rsidDel="00000000" w:rsidP="00000000" w:rsidRDefault="00000000" w:rsidRPr="00000000" w14:paraId="00000032">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docente viene trattato con precedenza su tutte le preferenze di scuola indicate e su tutte le preferenze ai fini della titolarità su ambito.  </w:t>
      </w:r>
    </w:p>
    <w:p w:rsidR="00000000" w:rsidDel="00000000" w:rsidP="00000000" w:rsidRDefault="00000000" w:rsidRPr="00000000" w14:paraId="00000033">
      <w:pPr>
        <w:keepNext w:val="1"/>
        <w:keepLines w:val="1"/>
        <w:spacing w:line="256"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PERSONALE CON DISABILITA’ E PERSONALE CHE HA BISOGNO DI PARTICOLARI CURE CONTINUATIVE </w:t>
      </w:r>
    </w:p>
    <w:p w:rsidR="00000000" w:rsidDel="00000000" w:rsidP="00000000" w:rsidRDefault="00000000" w:rsidRPr="00000000" w14:paraId="00000034">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contesto delle procedure dei trasferimenti viene riconosciuta la precedenza, nell’ordine, al personale scolastico che si trovi nelle seguenti condizioni: </w:t>
      </w:r>
    </w:p>
    <w:p w:rsidR="00000000" w:rsidDel="00000000" w:rsidP="00000000" w:rsidRDefault="00000000" w:rsidRPr="00000000" w14:paraId="00000035">
      <w:pPr>
        <w:numPr>
          <w:ilvl w:val="0"/>
          <w:numId w:val="4"/>
        </w:numPr>
        <w:spacing w:after="3" w:line="225" w:lineRule="auto"/>
        <w:ind w:left="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disabili di cui all'art. 21, della legge n. 104/92, richiamato dall'art. 601 del D.L.vo n. 297/94, con un grado di invalidità superiore ai due terzi o con minorazioni iscritte alle categorie prima, seconda e terza della tabella "A" annessa alla legge 10 agosto 1950, n. 648;  </w:t>
      </w:r>
    </w:p>
    <w:p w:rsidR="00000000" w:rsidDel="00000000" w:rsidP="00000000" w:rsidRDefault="00000000" w:rsidRPr="00000000" w14:paraId="00000036">
      <w:pPr>
        <w:numPr>
          <w:ilvl w:val="0"/>
          <w:numId w:val="4"/>
        </w:numPr>
        <w:spacing w:after="3" w:line="225" w:lineRule="auto"/>
        <w:ind w:left="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personale (non necessariamente disabile) che ha bisogno per gravi patologie di particolari cure a carattere continuativo (ad esempio chemioterapia);  </w:t>
      </w:r>
    </w:p>
    <w:p w:rsidR="00000000" w:rsidDel="00000000" w:rsidP="00000000" w:rsidRDefault="00000000" w:rsidRPr="00000000" w14:paraId="00000037">
      <w:pPr>
        <w:numPr>
          <w:ilvl w:val="0"/>
          <w:numId w:val="4"/>
        </w:numPr>
        <w:spacing w:after="3" w:line="225" w:lineRule="auto"/>
        <w:ind w:left="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personale appartenente alle categorie previste dal comma 6, dell'art. 33 della legge n. 104/92, richiamato dall'art. 601, del D.L.vo n. 297/94;  </w:t>
      </w:r>
    </w:p>
    <w:p w:rsidR="00000000" w:rsidDel="00000000" w:rsidP="00000000" w:rsidRDefault="00000000" w:rsidRPr="00000000" w14:paraId="00000038">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personale, di cui ai punti 1) e 3) può usufruire di tale precedenza all’interno e per la provincia in cui è ubicato il comune di residenza, a condizione che abbia espresso come prima preferenza una o più istituzioni scolastiche comprese nel predetto comune oppure abbia espresso l’ambito corrispondente ad esso o alla parte di esso qualora intenda esprimere preferenze relative a scuole di altri comuni o ad altri ambiti o province. Il personale di cui al punto 2) può usufruire di tale precedenza all’interno e per la provincia in cui è ubicato il comune di cura, a condizione che abbia espresso come prima preferenza una o più istituzioni scolastiche comprese nel predetto comune oppure abbia espresso l’ambito corrispondente ad esso qualora intenda esprimere successivamente preferenze relative a scuole di altri comuni o ad altri ambiti. Qualora intenda usufruire di tale precedenza anche per altre province deve indicare prima delle preferenze relative ad altre province la preferenza sintetica relativa alla provincia che comprende il predetto comune. In caso in cui nel comune non esistano scuole esprimibili è possibile indicare una scuola di un comune viciniore (5) (6). </w:t>
      </w:r>
    </w:p>
    <w:p w:rsidR="00000000" w:rsidDel="00000000" w:rsidP="00000000" w:rsidRDefault="00000000" w:rsidRPr="00000000" w14:paraId="00000039">
      <w:pPr>
        <w:keepNext w:val="1"/>
        <w:keepLines w:val="1"/>
        <w:spacing w:line="256"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ASSISTENZA AL CONIUGE, ED AL FIGLIO CON DISABILITA’; ASSISTENZA DA PARTE DEL FIGLIO REFERENTE UNICO AL GENITORE CON DISABILITA’; ASSISTENZA DA PARTE DI CHI ESERCITA LA TUTELA LEGALE (7) </w:t>
      </w:r>
    </w:p>
    <w:p w:rsidR="00000000" w:rsidDel="00000000" w:rsidP="00000000" w:rsidRDefault="00000000" w:rsidRPr="00000000" w14:paraId="0000003A">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Viene riconosciuta, in base all’art. 33 commi 5 e 7 della L. 104/92, richiamato dall’art. 601 del D.L.vo n. 297/94, la precedenza ai genitori anche adottivi del disabile in situazione di gravità.  </w:t>
      </w:r>
    </w:p>
    <w:p w:rsidR="00000000" w:rsidDel="00000000" w:rsidP="00000000" w:rsidRDefault="00000000" w:rsidRPr="00000000" w14:paraId="0000003B">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 </w:t>
      </w:r>
    </w:p>
    <w:p w:rsidR="00000000" w:rsidDel="00000000" w:rsidP="00000000" w:rsidRDefault="00000000" w:rsidRPr="00000000" w14:paraId="0000003C">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docente può usufruire di tale precedenza all’interno e per la provincia in cui è ubicato il comune di assistenza, a condizione che abbia espresso come prima preferenza una o più istituzioni scolastiche comprese nel predetto comune oppure abbia espresso l’ambito corrispondente ad esso o alla parte di esso qualora intenda esprimere preferenze relative a scuole di altri comuni o ad altri ambiti nella provincia. In assenza di posti richiedibili nel comune ove risulti domiciliato il figlio disabile le condizioni per la fruizione della precedenza sono riferite al comune viciniore a quello del domicilio dell’assistito con posti richiedibili (5)(6) </w:t>
      </w:r>
    </w:p>
    <w:p w:rsidR="00000000" w:rsidDel="00000000" w:rsidP="00000000" w:rsidRDefault="00000000" w:rsidRPr="00000000" w14:paraId="0000003D">
      <w:pPr>
        <w:spacing w:after="3" w:line="225" w:lineRule="auto"/>
        <w:ind w:left="-2" w:right="-1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Successivamente viene riconosciuta la precedenza per l’assistenza al coniuge (8) e, limitatamente ai trasferimenti nella stessa provincia, al solo figlio individuato come referente unico che presta assistenza al genitore disabile in situazione di gravità. </w:t>
      </w:r>
    </w:p>
    <w:p w:rsidR="00000000" w:rsidDel="00000000" w:rsidP="00000000" w:rsidRDefault="00000000" w:rsidRPr="00000000" w14:paraId="0000003E">
      <w:pPr>
        <w:spacing w:after="35"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caso di figlio che assiste un genitore in qualità di referente unico, la precedenza viene riconosciuta in presenza di tutte le sottoelencate condizioni: </w:t>
      </w:r>
    </w:p>
    <w:p w:rsidR="00000000" w:rsidDel="00000000" w:rsidP="00000000" w:rsidRDefault="00000000" w:rsidRPr="00000000" w14:paraId="0000003F">
      <w:pPr>
        <w:numPr>
          <w:ilvl w:val="0"/>
          <w:numId w:val="3"/>
        </w:numPr>
        <w:spacing w:after="31" w:line="225"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documentata  impossibilità del coniuge di provvedere all’assistenza per motivi oggettivi; </w:t>
      </w:r>
    </w:p>
    <w:p w:rsidR="00000000" w:rsidDel="00000000" w:rsidP="00000000" w:rsidRDefault="00000000" w:rsidRPr="00000000" w14:paraId="00000040">
      <w:pPr>
        <w:numPr>
          <w:ilvl w:val="0"/>
          <w:numId w:val="3"/>
        </w:numPr>
        <w:spacing w:after="35" w:line="225"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(9). </w:t>
      </w:r>
    </w:p>
    <w:p w:rsidR="00000000" w:rsidDel="00000000" w:rsidP="00000000" w:rsidRDefault="00000000" w:rsidRPr="00000000" w14:paraId="00000041">
      <w:pPr>
        <w:numPr>
          <w:ilvl w:val="0"/>
          <w:numId w:val="3"/>
        </w:numPr>
        <w:spacing w:after="3" w:line="225"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essere anche l’unico figlio che ha chiesto di fruire periodicamente nell’anno scolastico in cui si presenta la domanda di mobilità, dei 3 giorni di permesso retribuito mensile per l’assistenza (10) ovvero del congedo straordinario ai sensi dell’art. 42 comma 5 del D.L.vo 151/2001. </w:t>
      </w:r>
    </w:p>
    <w:p w:rsidR="00000000" w:rsidDel="00000000" w:rsidP="00000000" w:rsidRDefault="00000000" w:rsidRPr="00000000" w14:paraId="00000042">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 </w:t>
      </w:r>
    </w:p>
    <w:p w:rsidR="00000000" w:rsidDel="00000000" w:rsidP="00000000" w:rsidRDefault="00000000" w:rsidRPr="00000000" w14:paraId="00000043">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usufruire di tale precedenza è necessario esprimere come prima preferenza una o più istituzioni scolastiche comprese nel comune di assistenza oppure l’ambito corrispondente ad esso o alla parte di esso qualora si intenda esprimere preferenze relative a scuole di altri comuni o ad altri ambiti nella provincia </w:t>
      </w:r>
    </w:p>
    <w:p w:rsidR="00000000" w:rsidDel="00000000" w:rsidP="00000000" w:rsidRDefault="00000000" w:rsidRPr="00000000" w14:paraId="00000044">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assenza di posti richiedibili nel comune ove risulti domiciliato il soggetto disabile il docente è obbligato a indicare una preferenza di scuola o ambito relativa ad un comune viciniore a quello del domicilio dell’assistito con posti richiedibili (5) (6)  </w:t>
      </w:r>
    </w:p>
    <w:p w:rsidR="00000000" w:rsidDel="00000000" w:rsidP="00000000" w:rsidRDefault="00000000" w:rsidRPr="00000000" w14:paraId="00000045">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mancata indicazione di una o più scuole del comune o dell’ambito territoriale di ricongiungimento prima di preferenze relative a scuole di altri comuni o ad altri ambiti preclude la possibilità di accoglimento da parte dell’ufficio della precedenza ma non comporta l’annullamento dell’intera domanda. Pertanto, in tali casi, le preferenze espresse saranno prese in considerazione solo come domanda volontaria senza diritto di precedenza. </w:t>
      </w:r>
    </w:p>
    <w:p w:rsidR="00000000" w:rsidDel="00000000" w:rsidP="00000000" w:rsidRDefault="00000000" w:rsidRPr="00000000" w14:paraId="00000046">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province diverse esclusivamente nelle operazioni di assegnazione provvisoria, fermo restando il diritto a presentare la domanda di mobilità. </w:t>
      </w:r>
    </w:p>
    <w:p w:rsidR="00000000" w:rsidDel="00000000" w:rsidP="00000000" w:rsidRDefault="00000000" w:rsidRPr="00000000" w14:paraId="00000047">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particolare condizione fisica che dà titolo alla precedenza di cui al presente punto IV) nella mobilità a domanda deve avere carattere permanente. Tale disposizione non trova applicazione nel caso dei figli disabili. </w:t>
      </w:r>
    </w:p>
    <w:p w:rsidR="00000000" w:rsidDel="00000000" w:rsidP="00000000" w:rsidRDefault="00000000" w:rsidRPr="00000000" w14:paraId="00000048">
      <w:pPr>
        <w:spacing w:after="3" w:line="225" w:lineRule="auto"/>
        <w:ind w:left="-2" w:firstLine="0"/>
        <w:jc w:val="both"/>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Per beneficiare della precedenza prevista dall’art. 33, della legge n. 104/92, gli interessati dovranno produrre apposita certificazione secondo le indicazioni riportate nella O.M che regola i trasferimenti.  </w:t>
      </w:r>
    </w:p>
    <w:p w:rsidR="00000000" w:rsidDel="00000000" w:rsidP="00000000" w:rsidRDefault="00000000" w:rsidRPr="00000000" w14:paraId="00000049">
      <w:pPr>
        <w:spacing w:after="29"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predetta certificazione deve essere prodotta contestualmente alla domanda di trasferimento. </w:t>
      </w:r>
    </w:p>
    <w:p w:rsidR="00000000" w:rsidDel="00000000" w:rsidP="00000000" w:rsidRDefault="00000000" w:rsidRPr="00000000" w14:paraId="0000004A">
      <w:pPr>
        <w:keepNext w:val="1"/>
        <w:keepLines w:val="1"/>
        <w:spacing w:line="256"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 PERSONALE CHE RICOPRE CARICHE PUBBLICHE NELLE AMMINISTRAZIONI DEGLI ENTI LOCALI </w:t>
      </w:r>
    </w:p>
    <w:p w:rsidR="00000000" w:rsidDel="00000000" w:rsidP="00000000" w:rsidRDefault="00000000" w:rsidRPr="00000000" w14:paraId="0000004B">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personale docente chiamato a ricoprire cariche pubbliche nelle amministrazioni degli enti locali a norma della legge 3.8.1999, n. 265 e del D.L.vo 18/08/2000 n. 267 e i consiglieri di pari opportunità nominati ai sensi del Capo IV del Decreto legislativo 198/200 durante l’esercizio del mandato, ha titolo limitatamente ai trasferimenti all’interno e per la provincia alla precedenza nel trasferimento, purché venga espressa come prima preferenza quella riferita al comune ove espletano il loro mandato amministrativo.  </w:t>
      </w:r>
    </w:p>
    <w:p w:rsidR="00000000" w:rsidDel="00000000" w:rsidP="00000000" w:rsidRDefault="00000000" w:rsidRPr="00000000" w14:paraId="0000004C">
      <w:pPr>
        <w:spacing w:after="3" w:line="225"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docente può usufruire di tale precedenza all’interno e per la provincia, a condizione che abbia espresso come prima preferenza una istituzione scolastica compresa nel comune dove esercita il mandato amministrativo, oppure abbia espresso l’ambito corrispondente ad esso o alla parte di esso qualora intenda esprimere preferenze relative a scuole di altri comuni o ad altri ambiti della provincia. Tale precedenza non si applica alla mobilità professionale.  L’esercizio del mandato deve sussistere entro dieci giorni prima del termine ultimo di comunicazione al SIDI delle domande.</w:t>
      </w:r>
    </w:p>
    <w:p w:rsidR="00000000" w:rsidDel="00000000" w:rsidP="00000000" w:rsidRDefault="00000000" w:rsidRPr="00000000" w14:paraId="0000004D">
      <w:pPr>
        <w:spacing w:after="3" w:line="225" w:lineRule="auto"/>
        <w:ind w:left="-2"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Segue nel CCNI….</w:t>
      </w:r>
    </w:p>
    <w:p w:rsidR="00000000" w:rsidDel="00000000" w:rsidP="00000000" w:rsidRDefault="00000000" w:rsidRPr="00000000" w14:paraId="0000004E">
      <w:pPr>
        <w:widowControl w:val="0"/>
        <w:ind w:left="5102.362204724409" w:firstLine="0"/>
        <w:jc w:val="center"/>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6840" w:w="11900" w:orient="portrait"/>
      <w:pgMar w:bottom="1134" w:top="1418" w:left="1134" w:right="1134" w:header="3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56"/>
      </w:tabs>
      <w:spacing w:after="0" w:before="0" w:line="240" w:lineRule="auto"/>
      <w:ind w:left="-1133.8582677165355" w:right="-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7533323" cy="1136442"/>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33323" cy="113644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-735327</wp:posOffset>
          </wp:positionH>
          <wp:positionV relativeFrom="paragraph">
            <wp:posOffset>-309243</wp:posOffset>
          </wp:positionV>
          <wp:extent cx="7593965" cy="161988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3965" cy="16198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rFonts w:ascii="Tahoma" w:cs="Tahoma" w:eastAsia="Tahoma" w:hAnsi="Tahoma"/>
        <w:b w:val="0"/>
        <w:i w:val="0"/>
        <w:strike w:val="0"/>
        <w:color w:val="000000"/>
        <w:sz w:val="21"/>
        <w:szCs w:val="21"/>
        <w:u w:val="none"/>
        <w:shd w:fill="auto" w:val="clear"/>
        <w:vertAlign w:val="baseline"/>
      </w:rPr>
    </w:lvl>
    <w:lvl w:ilvl="1">
      <w:start w:val="1"/>
      <w:numFmt w:val="lowerLetter"/>
      <w:lvlText w:val="%2"/>
      <w:lvlJc w:val="left"/>
      <w:pPr>
        <w:ind w:left="1080" w:hanging="1080"/>
      </w:pPr>
      <w:rPr>
        <w:rFonts w:ascii="Tahoma" w:cs="Tahoma" w:eastAsia="Tahoma" w:hAnsi="Tahoma"/>
        <w:b w:val="0"/>
        <w:i w:val="0"/>
        <w:strike w:val="0"/>
        <w:color w:val="000000"/>
        <w:sz w:val="21"/>
        <w:szCs w:val="21"/>
        <w:u w:val="none"/>
        <w:shd w:fill="auto" w:val="clear"/>
        <w:vertAlign w:val="baseline"/>
      </w:rPr>
    </w:lvl>
    <w:lvl w:ilvl="2">
      <w:start w:val="1"/>
      <w:numFmt w:val="lowerRoman"/>
      <w:lvlText w:val="%3"/>
      <w:lvlJc w:val="left"/>
      <w:pPr>
        <w:ind w:left="1800" w:hanging="1800"/>
      </w:pPr>
      <w:rPr>
        <w:rFonts w:ascii="Tahoma" w:cs="Tahoma" w:eastAsia="Tahoma" w:hAnsi="Tahoma"/>
        <w:b w:val="0"/>
        <w:i w:val="0"/>
        <w:strike w:val="0"/>
        <w:color w:val="000000"/>
        <w:sz w:val="21"/>
        <w:szCs w:val="21"/>
        <w:u w:val="none"/>
        <w:shd w:fill="auto" w:val="clear"/>
        <w:vertAlign w:val="baseline"/>
      </w:rPr>
    </w:lvl>
    <w:lvl w:ilvl="3">
      <w:start w:val="1"/>
      <w:numFmt w:val="decimal"/>
      <w:lvlText w:val="%4"/>
      <w:lvlJc w:val="left"/>
      <w:pPr>
        <w:ind w:left="2520" w:hanging="2520"/>
      </w:pPr>
      <w:rPr>
        <w:rFonts w:ascii="Tahoma" w:cs="Tahoma" w:eastAsia="Tahoma" w:hAnsi="Tahoma"/>
        <w:b w:val="0"/>
        <w:i w:val="0"/>
        <w:strike w:val="0"/>
        <w:color w:val="000000"/>
        <w:sz w:val="21"/>
        <w:szCs w:val="21"/>
        <w:u w:val="none"/>
        <w:shd w:fill="auto" w:val="clear"/>
        <w:vertAlign w:val="baseline"/>
      </w:rPr>
    </w:lvl>
    <w:lvl w:ilvl="4">
      <w:start w:val="1"/>
      <w:numFmt w:val="lowerLetter"/>
      <w:lvlText w:val="%5"/>
      <w:lvlJc w:val="left"/>
      <w:pPr>
        <w:ind w:left="3240" w:hanging="3240"/>
      </w:pPr>
      <w:rPr>
        <w:rFonts w:ascii="Tahoma" w:cs="Tahoma" w:eastAsia="Tahoma" w:hAnsi="Tahoma"/>
        <w:b w:val="0"/>
        <w:i w:val="0"/>
        <w:strike w:val="0"/>
        <w:color w:val="000000"/>
        <w:sz w:val="21"/>
        <w:szCs w:val="21"/>
        <w:u w:val="none"/>
        <w:shd w:fill="auto" w:val="clear"/>
        <w:vertAlign w:val="baseline"/>
      </w:rPr>
    </w:lvl>
    <w:lvl w:ilvl="5">
      <w:start w:val="1"/>
      <w:numFmt w:val="lowerRoman"/>
      <w:lvlText w:val="%6"/>
      <w:lvlJc w:val="left"/>
      <w:pPr>
        <w:ind w:left="3960" w:hanging="3960"/>
      </w:pPr>
      <w:rPr>
        <w:rFonts w:ascii="Tahoma" w:cs="Tahoma" w:eastAsia="Tahoma" w:hAnsi="Tahoma"/>
        <w:b w:val="0"/>
        <w:i w:val="0"/>
        <w:strike w:val="0"/>
        <w:color w:val="000000"/>
        <w:sz w:val="21"/>
        <w:szCs w:val="21"/>
        <w:u w:val="none"/>
        <w:shd w:fill="auto" w:val="clear"/>
        <w:vertAlign w:val="baseline"/>
      </w:rPr>
    </w:lvl>
    <w:lvl w:ilvl="6">
      <w:start w:val="1"/>
      <w:numFmt w:val="decimal"/>
      <w:lvlText w:val="%7"/>
      <w:lvlJc w:val="left"/>
      <w:pPr>
        <w:ind w:left="4680" w:hanging="4680"/>
      </w:pPr>
      <w:rPr>
        <w:rFonts w:ascii="Tahoma" w:cs="Tahoma" w:eastAsia="Tahoma" w:hAnsi="Tahoma"/>
        <w:b w:val="0"/>
        <w:i w:val="0"/>
        <w:strike w:val="0"/>
        <w:color w:val="000000"/>
        <w:sz w:val="21"/>
        <w:szCs w:val="21"/>
        <w:u w:val="none"/>
        <w:shd w:fill="auto" w:val="clear"/>
        <w:vertAlign w:val="baseline"/>
      </w:rPr>
    </w:lvl>
    <w:lvl w:ilvl="7">
      <w:start w:val="1"/>
      <w:numFmt w:val="lowerLetter"/>
      <w:lvlText w:val="%8"/>
      <w:lvlJc w:val="left"/>
      <w:pPr>
        <w:ind w:left="5400" w:hanging="5400"/>
      </w:pPr>
      <w:rPr>
        <w:rFonts w:ascii="Tahoma" w:cs="Tahoma" w:eastAsia="Tahoma" w:hAnsi="Tahoma"/>
        <w:b w:val="0"/>
        <w:i w:val="0"/>
        <w:strike w:val="0"/>
        <w:color w:val="000000"/>
        <w:sz w:val="21"/>
        <w:szCs w:val="21"/>
        <w:u w:val="none"/>
        <w:shd w:fill="auto" w:val="clear"/>
        <w:vertAlign w:val="baseline"/>
      </w:rPr>
    </w:lvl>
    <w:lvl w:ilvl="8">
      <w:start w:val="1"/>
      <w:numFmt w:val="lowerRoman"/>
      <w:lvlText w:val="%9"/>
      <w:lvlJc w:val="left"/>
      <w:pPr>
        <w:ind w:left="6120" w:hanging="6120"/>
      </w:pPr>
      <w:rPr>
        <w:rFonts w:ascii="Tahoma" w:cs="Tahoma" w:eastAsia="Tahoma" w:hAnsi="Tahoma"/>
        <w:b w:val="0"/>
        <w:i w:val="0"/>
        <w:strike w:val="0"/>
        <w:color w:val="000000"/>
        <w:sz w:val="21"/>
        <w:szCs w:val="21"/>
        <w:u w:val="none"/>
        <w:shd w:fill="auto" w:val="clear"/>
        <w:vertAlign w:val="baseline"/>
      </w:rPr>
    </w:lvl>
  </w:abstractNum>
  <w:abstractNum w:abstractNumId="4">
    <w:lvl w:ilvl="0">
      <w:start w:val="1"/>
      <w:numFmt w:val="decimal"/>
      <w:lvlText w:val="%1)"/>
      <w:lvlJc w:val="left"/>
      <w:pPr>
        <w:ind w:left="10" w:hanging="10"/>
      </w:pPr>
      <w:rPr>
        <w:rFonts w:ascii="Tahoma" w:cs="Tahoma" w:eastAsia="Tahoma" w:hAnsi="Tahoma"/>
        <w:b w:val="0"/>
        <w:i w:val="0"/>
        <w:strike w:val="0"/>
        <w:color w:val="000000"/>
        <w:sz w:val="21"/>
        <w:szCs w:val="21"/>
        <w:u w:val="none"/>
        <w:shd w:fill="auto" w:val="clear"/>
        <w:vertAlign w:val="baseline"/>
      </w:rPr>
    </w:lvl>
    <w:lvl w:ilvl="1">
      <w:start w:val="1"/>
      <w:numFmt w:val="lowerLetter"/>
      <w:lvlText w:val="%2"/>
      <w:lvlJc w:val="left"/>
      <w:pPr>
        <w:ind w:left="1080" w:hanging="1080"/>
      </w:pPr>
      <w:rPr>
        <w:rFonts w:ascii="Tahoma" w:cs="Tahoma" w:eastAsia="Tahoma" w:hAnsi="Tahoma"/>
        <w:b w:val="0"/>
        <w:i w:val="0"/>
        <w:strike w:val="0"/>
        <w:color w:val="000000"/>
        <w:sz w:val="21"/>
        <w:szCs w:val="21"/>
        <w:u w:val="none"/>
        <w:shd w:fill="auto" w:val="clear"/>
        <w:vertAlign w:val="baseline"/>
      </w:rPr>
    </w:lvl>
    <w:lvl w:ilvl="2">
      <w:start w:val="1"/>
      <w:numFmt w:val="lowerRoman"/>
      <w:lvlText w:val="%3"/>
      <w:lvlJc w:val="left"/>
      <w:pPr>
        <w:ind w:left="1800" w:hanging="1800"/>
      </w:pPr>
      <w:rPr>
        <w:rFonts w:ascii="Tahoma" w:cs="Tahoma" w:eastAsia="Tahoma" w:hAnsi="Tahoma"/>
        <w:b w:val="0"/>
        <w:i w:val="0"/>
        <w:strike w:val="0"/>
        <w:color w:val="000000"/>
        <w:sz w:val="21"/>
        <w:szCs w:val="21"/>
        <w:u w:val="none"/>
        <w:shd w:fill="auto" w:val="clear"/>
        <w:vertAlign w:val="baseline"/>
      </w:rPr>
    </w:lvl>
    <w:lvl w:ilvl="3">
      <w:start w:val="1"/>
      <w:numFmt w:val="decimal"/>
      <w:lvlText w:val="%4"/>
      <w:lvlJc w:val="left"/>
      <w:pPr>
        <w:ind w:left="2520" w:hanging="2520"/>
      </w:pPr>
      <w:rPr>
        <w:rFonts w:ascii="Tahoma" w:cs="Tahoma" w:eastAsia="Tahoma" w:hAnsi="Tahoma"/>
        <w:b w:val="0"/>
        <w:i w:val="0"/>
        <w:strike w:val="0"/>
        <w:color w:val="000000"/>
        <w:sz w:val="21"/>
        <w:szCs w:val="21"/>
        <w:u w:val="none"/>
        <w:shd w:fill="auto" w:val="clear"/>
        <w:vertAlign w:val="baseline"/>
      </w:rPr>
    </w:lvl>
    <w:lvl w:ilvl="4">
      <w:start w:val="1"/>
      <w:numFmt w:val="lowerLetter"/>
      <w:lvlText w:val="%5"/>
      <w:lvlJc w:val="left"/>
      <w:pPr>
        <w:ind w:left="3240" w:hanging="3240"/>
      </w:pPr>
      <w:rPr>
        <w:rFonts w:ascii="Tahoma" w:cs="Tahoma" w:eastAsia="Tahoma" w:hAnsi="Tahoma"/>
        <w:b w:val="0"/>
        <w:i w:val="0"/>
        <w:strike w:val="0"/>
        <w:color w:val="000000"/>
        <w:sz w:val="21"/>
        <w:szCs w:val="21"/>
        <w:u w:val="none"/>
        <w:shd w:fill="auto" w:val="clear"/>
        <w:vertAlign w:val="baseline"/>
      </w:rPr>
    </w:lvl>
    <w:lvl w:ilvl="5">
      <w:start w:val="1"/>
      <w:numFmt w:val="lowerRoman"/>
      <w:lvlText w:val="%6"/>
      <w:lvlJc w:val="left"/>
      <w:pPr>
        <w:ind w:left="3960" w:hanging="3960"/>
      </w:pPr>
      <w:rPr>
        <w:rFonts w:ascii="Tahoma" w:cs="Tahoma" w:eastAsia="Tahoma" w:hAnsi="Tahoma"/>
        <w:b w:val="0"/>
        <w:i w:val="0"/>
        <w:strike w:val="0"/>
        <w:color w:val="000000"/>
        <w:sz w:val="21"/>
        <w:szCs w:val="21"/>
        <w:u w:val="none"/>
        <w:shd w:fill="auto" w:val="clear"/>
        <w:vertAlign w:val="baseline"/>
      </w:rPr>
    </w:lvl>
    <w:lvl w:ilvl="6">
      <w:start w:val="1"/>
      <w:numFmt w:val="decimal"/>
      <w:lvlText w:val="%7"/>
      <w:lvlJc w:val="left"/>
      <w:pPr>
        <w:ind w:left="4680" w:hanging="4680"/>
      </w:pPr>
      <w:rPr>
        <w:rFonts w:ascii="Tahoma" w:cs="Tahoma" w:eastAsia="Tahoma" w:hAnsi="Tahoma"/>
        <w:b w:val="0"/>
        <w:i w:val="0"/>
        <w:strike w:val="0"/>
        <w:color w:val="000000"/>
        <w:sz w:val="21"/>
        <w:szCs w:val="21"/>
        <w:u w:val="none"/>
        <w:shd w:fill="auto" w:val="clear"/>
        <w:vertAlign w:val="baseline"/>
      </w:rPr>
    </w:lvl>
    <w:lvl w:ilvl="7">
      <w:start w:val="1"/>
      <w:numFmt w:val="lowerLetter"/>
      <w:lvlText w:val="%8"/>
      <w:lvlJc w:val="left"/>
      <w:pPr>
        <w:ind w:left="5400" w:hanging="5400"/>
      </w:pPr>
      <w:rPr>
        <w:rFonts w:ascii="Tahoma" w:cs="Tahoma" w:eastAsia="Tahoma" w:hAnsi="Tahoma"/>
        <w:b w:val="0"/>
        <w:i w:val="0"/>
        <w:strike w:val="0"/>
        <w:color w:val="000000"/>
        <w:sz w:val="21"/>
        <w:szCs w:val="21"/>
        <w:u w:val="none"/>
        <w:shd w:fill="auto" w:val="clear"/>
        <w:vertAlign w:val="baseline"/>
      </w:rPr>
    </w:lvl>
    <w:lvl w:ilvl="8">
      <w:start w:val="1"/>
      <w:numFmt w:val="lowerRoman"/>
      <w:lvlText w:val="%9"/>
      <w:lvlJc w:val="left"/>
      <w:pPr>
        <w:ind w:left="6120" w:hanging="6120"/>
      </w:pPr>
      <w:rPr>
        <w:rFonts w:ascii="Tahoma" w:cs="Tahoma" w:eastAsia="Tahoma" w:hAnsi="Tahoma"/>
        <w:b w:val="0"/>
        <w:i w:val="0"/>
        <w:strike w:val="0"/>
        <w:color w:val="000000"/>
        <w:sz w:val="21"/>
        <w:szCs w:val="21"/>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